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gif" ContentType="image/gi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b/>
          <w:sz w:val="24"/>
          <w:b/>
          <w:szCs w:val="24"/>
          <w:rFonts w:cs="Times New Roman"/>
          <w:color w:val="FF0000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</w:t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3497580</wp:posOffset>
            </wp:positionH>
            <wp:positionV relativeFrom="margin">
              <wp:posOffset>45720</wp:posOffset>
            </wp:positionV>
            <wp:extent cx="829310" cy="829310"/>
            <wp:effectExtent l="0" t="0" r="0" b="0"/>
            <wp:wrapSquare wrapText="bothSides"/>
            <wp:docPr id="1" name="Picture" descr="http://qrcoder.ru/code/?http%3A%2F%2Fiupr.ru%2Fblizhayshie_konferenci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://qrcoder.ru/code/?http%3A%2F%2Fiupr.ru%2Fblizhayshie_konferencii%2F&amp;4&amp;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rFonts w:cs="Times New Roman"/>
          <w:color w:val="FF0000"/>
        </w:rPr>
      </w:pPr>
      <w:r>
        <w:rPr>
          <w:rFonts w:cs="Times New Roman"/>
          <w:b/>
          <w:color w:val="FF0000"/>
          <w:sz w:val="32"/>
          <w:szCs w:val="32"/>
        </w:rPr>
        <w:t xml:space="preserve">Саратов </w:t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rFonts w:cs="Times New Roman"/>
          <w:color w:val="FF0000"/>
        </w:rPr>
      </w:pPr>
      <w:r>
        <w:rPr>
          <w:rFonts w:cs="Times New Roman"/>
          <w:b/>
          <w:color w:val="FF0000"/>
          <w:sz w:val="32"/>
          <w:szCs w:val="32"/>
        </w:rPr>
        <w:t>4 марта 2015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cs="Times New Roman"/>
          <w:color w:val="FF0000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</w:t>
      </w:r>
      <w:r/>
    </w:p>
    <w:p>
      <w:pPr>
        <w:pStyle w:val="Normal"/>
        <w:rPr>
          <w:b/>
          <w:b/>
          <w:szCs w:val="28"/>
          <w:rFonts w:cs="Times New Roman"/>
          <w:color w:val="17365D" w:themeColor="text2" w:themeShade="bf"/>
        </w:rPr>
      </w:pPr>
      <w:r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>
        <w:rPr>
          <w:rFonts w:cs="Times New Roman"/>
          <w:b/>
          <w:color w:val="17365D" w:themeColor="text2" w:themeShade="bf"/>
          <w:szCs w:val="28"/>
        </w:rPr>
        <w:t xml:space="preserve"> </w:t>
      </w:r>
      <w:r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  <w:r/>
    </w:p>
    <w:p>
      <w:pPr>
        <w:pStyle w:val="Normal"/>
        <w:rPr>
          <w:sz w:val="24"/>
          <w:b/>
          <w:sz w:val="24"/>
          <w:b/>
          <w:szCs w:val="24"/>
          <w:rFonts w:cs="Times New Roman"/>
          <w:color w:val="17365D" w:themeColor="text2" w:themeShade="bf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  <w:r/>
    </w:p>
    <w:p>
      <w:pPr>
        <w:pStyle w:val="Normal"/>
        <w:rPr>
          <w:sz w:val="24"/>
          <w:b/>
          <w:sz w:val="24"/>
          <w:b/>
          <w:szCs w:val="24"/>
          <w:rFonts w:cs="Times New Roman"/>
          <w:color w:val="17365D" w:themeColor="text2" w:themeShade="bf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  <w:r/>
    </w:p>
    <w:p>
      <w:pPr>
        <w:pStyle w:val="Normal"/>
        <w:jc w:val="center"/>
        <w:rPr>
          <w:sz w:val="8"/>
          <w:b/>
          <w:sz w:val="8"/>
          <w:b/>
          <w:szCs w:val="24"/>
          <w:rFonts w:ascii="Times New Roman" w:hAnsi="Times New Roman" w:cs="Times New Roman"/>
          <w:color w:val="17365D" w:themeColor="text2" w:themeShade="bf"/>
        </w:rPr>
      </w:pPr>
      <w:r>
        <w:rPr>
          <w:rFonts w:cs="Times New Roman"/>
          <w:b/>
          <w:color w:val="17365D" w:themeColor="text2" w:themeShade="bf"/>
          <w:sz w:val="8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cs="Times New Roman"/>
          <w:color w:val="17365D" w:themeColor="text2" w:themeShade="bf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проводят </w:t>
      </w:r>
      <w:r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 </w:t>
      </w:r>
      <w:r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cs="Times New Roman"/>
          <w:color w:val="17365D" w:themeColor="text2" w:themeShade="bf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  <w:r/>
    </w:p>
    <w:p>
      <w:pPr>
        <w:pStyle w:val="Normal"/>
        <w:jc w:val="center"/>
        <w:rPr>
          <w:sz w:val="16"/>
          <w:b/>
          <w:sz w:val="16"/>
          <w:b/>
          <w:szCs w:val="16"/>
          <w:rFonts w:ascii="Times New Roman" w:hAnsi="Times New Roman" w:cs="Times New Roman"/>
        </w:rPr>
      </w:pPr>
      <w:r>
        <w:rPr>
          <w:rFonts w:cs="Times New Roman"/>
          <w:b/>
          <w:sz w:val="16"/>
          <w:szCs w:val="16"/>
        </w:rPr>
      </w:r>
      <w:r/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КРИЗИС </w:t>
      </w:r>
      <w:r>
        <w:rPr>
          <w:b/>
          <w:lang w:val="en-US"/>
        </w:rPr>
        <w:t>XXI</w:t>
      </w:r>
      <w:r>
        <w:rPr>
          <w:b/>
        </w:rPr>
        <w:t xml:space="preserve"> ВЕКА</w:t>
      </w:r>
      <w:r/>
    </w:p>
    <w:p>
      <w:pPr>
        <w:pStyle w:val="Normal"/>
        <w:jc w:val="center"/>
        <w:rPr>
          <w:b/>
          <w:b/>
        </w:rPr>
      </w:pPr>
      <w:r>
        <w:rPr>
          <w:b/>
        </w:rPr>
        <w:t>ВЧЕРА. СЕГОДНЯ. ЗАВТРА.</w:t>
      </w:r>
      <w:r/>
    </w:p>
    <w:p>
      <w:pPr>
        <w:pStyle w:val="Normal"/>
        <w:jc w:val="center"/>
        <w:rPr>
          <w:sz w:val="10"/>
          <w:b/>
          <w:sz w:val="10"/>
          <w:b/>
          <w:szCs w:val="24"/>
          <w:rFonts w:ascii="Times New Roman" w:hAnsi="Times New Roman" w:cs="Times New Roman"/>
          <w:color w:val="FF0000"/>
        </w:rPr>
      </w:pPr>
      <w:r>
        <w:rPr>
          <w:rFonts w:cs="Times New Roman"/>
          <w:b/>
          <w:color w:val="FF0000"/>
          <w:sz w:val="10"/>
          <w:szCs w:val="24"/>
        </w:rPr>
      </w:r>
      <w:r/>
    </w:p>
    <w:p>
      <w:pPr>
        <w:pStyle w:val="Normal"/>
        <w:rPr>
          <w:sz w:val="24"/>
          <w:b/>
          <w:sz w:val="24"/>
          <w:b/>
          <w:szCs w:val="24"/>
          <w:rFonts w:cs="Times New Roman"/>
        </w:rPr>
      </w:pPr>
      <w:r>
        <w:rPr>
          <w:rFonts w:cs="Times New Roman"/>
          <w:b/>
          <w:sz w:val="24"/>
          <w:szCs w:val="24"/>
        </w:rPr>
        <w:t>Основные направления: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Мировая экономика и международные экономические отношения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Глобальные тенденции экономического развития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Финансы и налоговая политика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Ценообразование в современной экономике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Опыт и проблемы социально-экономических преобразований в России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Зарубежный опыт экономического развития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Украинский кризис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Глобальные тенденции экономического развития</w:t>
      </w:r>
      <w:r/>
    </w:p>
    <w:p>
      <w:pPr>
        <w:pStyle w:val="Normal"/>
        <w:ind w:left="426" w:hanging="0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- Проблемы инвестиционного проектирования в инфраструктурных отраслях экономики</w:t>
      </w:r>
      <w:r/>
    </w:p>
    <w:p>
      <w:pPr>
        <w:pStyle w:val="Normal"/>
        <w:ind w:left="426" w:hanging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/>
          <w:sz w:val="24"/>
          <w:szCs w:val="24"/>
        </w:rPr>
      </w:r>
      <w:r/>
    </w:p>
    <w:p>
      <w:pPr>
        <w:pStyle w:val="Normal"/>
        <w:ind w:firstLine="426"/>
        <w:jc w:val="both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  <w:r/>
    </w:p>
    <w:p>
      <w:pPr>
        <w:pStyle w:val="Normal"/>
        <w:ind w:firstLine="426"/>
        <w:jc w:val="center"/>
        <w:rPr>
          <w:sz w:val="24"/>
          <w:b/>
          <w:sz w:val="24"/>
          <w:b/>
          <w:szCs w:val="24"/>
          <w:rFonts w:eastAsia="Calibri" w:cs="Times New Roman"/>
        </w:rPr>
      </w:pPr>
      <w:r>
        <w:rPr>
          <w:rFonts w:cs="Times New Roman"/>
          <w:b/>
          <w:sz w:val="24"/>
          <w:szCs w:val="24"/>
        </w:rPr>
        <w:t>Форма участия – заочная.</w:t>
      </w:r>
      <w:r>
        <w:rPr>
          <w:rFonts w:eastAsia="Calibri" w:cs="Times New Roman"/>
          <w:b/>
          <w:sz w:val="24"/>
          <w:szCs w:val="24"/>
        </w:rPr>
        <w:t xml:space="preserve"> Сборник зарегистрирован в наукометрической базе РИНЦ (Российский индекс научного цитирования) и публикуется на сайте электронной библиотеки Elibrary.ru с постатейной разметкой</w:t>
      </w:r>
      <w:r/>
    </w:p>
    <w:p>
      <w:pPr>
        <w:pStyle w:val="Normal"/>
        <w:jc w:val="center"/>
        <w:rPr>
          <w:sz w:val="40"/>
          <w:b/>
          <w:sz w:val="40"/>
          <w:b/>
          <w:szCs w:val="24"/>
          <w:rFonts w:cs="Times New Roman"/>
        </w:rPr>
      </w:pPr>
      <w:r>
        <w:rPr>
          <w:rFonts w:cs="Times New Roman"/>
          <w:b/>
          <w:sz w:val="40"/>
          <w:szCs w:val="24"/>
        </w:rPr>
        <w:t xml:space="preserve">Наш сайт: </w:t>
      </w:r>
      <w:r>
        <w:rPr>
          <w:rFonts w:cs="Times New Roman"/>
          <w:b/>
          <w:color w:val="0070C0"/>
          <w:sz w:val="40"/>
          <w:szCs w:val="24"/>
          <w:lang w:val="en-US"/>
        </w:rPr>
        <w:t>www</w:t>
      </w:r>
      <w:r>
        <w:rPr>
          <w:rFonts w:cs="Times New Roman"/>
          <w:b/>
          <w:color w:val="0070C0"/>
          <w:sz w:val="40"/>
          <w:szCs w:val="24"/>
        </w:rPr>
        <w:t>.</w:t>
      </w:r>
      <w:r>
        <w:rPr>
          <w:rFonts w:cs="Times New Roman"/>
          <w:b/>
          <w:color w:val="0070C0"/>
          <w:sz w:val="40"/>
          <w:szCs w:val="24"/>
          <w:lang w:val="en-US"/>
        </w:rPr>
        <w:t>iupr</w:t>
      </w:r>
      <w:r>
        <w:rPr>
          <w:rFonts w:cs="Times New Roman"/>
          <w:b/>
          <w:color w:val="0070C0"/>
          <w:sz w:val="40"/>
          <w:szCs w:val="24"/>
        </w:rPr>
        <w:t>.</w:t>
      </w:r>
      <w:r>
        <w:rPr>
          <w:rFonts w:cs="Times New Roman"/>
          <w:b/>
          <w:color w:val="0070C0"/>
          <w:sz w:val="40"/>
          <w:szCs w:val="24"/>
          <w:lang w:val="en-US"/>
        </w:rPr>
        <w:t>ru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 печатный 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сборник. </w:t>
      </w:r>
      <w:r/>
    </w:p>
    <w:p>
      <w:pPr>
        <w:pStyle w:val="Normal"/>
        <w:jc w:val="center"/>
        <w:rPr>
          <w:sz w:val="24"/>
          <w:sz w:val="24"/>
          <w:szCs w:val="24"/>
          <w:iCs/>
          <w:rFonts w:cs="Times New Roman"/>
        </w:rPr>
      </w:pPr>
      <w:r>
        <w:rPr>
          <w:rFonts w:cs="Times New Roman"/>
          <w:b/>
          <w:sz w:val="24"/>
          <w:szCs w:val="24"/>
        </w:rPr>
        <w:t>Ориентировочная дата рассылки 30 марта 2015г.</w:t>
      </w:r>
      <w:r/>
    </w:p>
    <w:p>
      <w:pPr>
        <w:pStyle w:val="Normal"/>
        <w:spacing w:lineRule="atLeast" w:line="210"/>
        <w:jc w:val="both"/>
        <w:rPr>
          <w:sz w:val="24"/>
          <w:b/>
          <w:sz w:val="24"/>
          <w:b/>
          <w:szCs w:val="24"/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  <w:r/>
    </w:p>
    <w:p>
      <w:pPr>
        <w:pStyle w:val="Normal"/>
        <w:jc w:val="both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 xml:space="preserve">Поля – 2,5 см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  <w:r/>
    </w:p>
    <w:p>
      <w:pPr>
        <w:pStyle w:val="Normal"/>
        <w:jc w:val="both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  <w:r/>
    </w:p>
    <w:p>
      <w:pPr>
        <w:pStyle w:val="Normal"/>
        <w:jc w:val="both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  <w:r/>
    </w:p>
    <w:p>
      <w:pPr>
        <w:pStyle w:val="Normal"/>
        <w:jc w:val="both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  <w:r/>
    </w:p>
    <w:p>
      <w:pPr>
        <w:pStyle w:val="Normal"/>
        <w:jc w:val="both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и.о. получателя (по этому адресу будет выслан сборник материалов), телефон, e-mail контактного лица. </w:t>
      </w:r>
      <w:r/>
    </w:p>
    <w:p>
      <w:pPr>
        <w:pStyle w:val="Normal"/>
        <w:rPr>
          <w:sz w:val="24"/>
          <w:sz w:val="24"/>
          <w:szCs w:val="24"/>
          <w:rFonts w:cs="Times New Roman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  <w:r/>
    </w:p>
    <w:p>
      <w:pPr>
        <w:pStyle w:val="Normal"/>
        <w:rPr>
          <w:sz w:val="10"/>
          <w:sz w:val="10"/>
          <w:szCs w:val="24"/>
          <w:rFonts w:ascii="Times New Roman" w:hAnsi="Times New Roman" w:cs="Times New Roman"/>
        </w:rPr>
      </w:pPr>
      <w:r>
        <w:rPr>
          <w:rFonts w:cs="Times New Roman"/>
          <w:sz w:val="10"/>
          <w:szCs w:val="24"/>
        </w:rPr>
      </w:r>
      <w:r/>
    </w:p>
    <w:p>
      <w:pPr>
        <w:pStyle w:val="Normal"/>
        <w:jc w:val="both"/>
        <w:rPr>
          <w:sz w:val="24"/>
          <w:sz w:val="24"/>
          <w:szCs w:val="24"/>
          <w:rFonts w:eastAsia="Calibri" w:cs="Times New Roman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Оргвзнос в размере </w:t>
      </w:r>
      <w:r>
        <w:rPr>
          <w:rFonts w:cs="Times New Roman"/>
          <w:b/>
          <w:sz w:val="24"/>
          <w:szCs w:val="24"/>
        </w:rPr>
        <w:t>900 руб</w:t>
      </w:r>
      <w:r>
        <w:rPr>
          <w:rFonts w:cs="Times New Roman"/>
          <w:sz w:val="24"/>
          <w:szCs w:val="24"/>
        </w:rPr>
        <w:t xml:space="preserve"> за статью до 5 страниц включительно. Каждая последующая страница </w:t>
      </w:r>
      <w:r>
        <w:rPr>
          <w:rFonts w:cs="Times New Roman"/>
          <w:b/>
          <w:sz w:val="24"/>
          <w:szCs w:val="24"/>
        </w:rPr>
        <w:t>150 руб</w:t>
      </w:r>
      <w:r>
        <w:rPr>
          <w:rFonts w:cs="Times New Roman"/>
          <w:sz w:val="24"/>
          <w:szCs w:val="24"/>
        </w:rPr>
        <w:t xml:space="preserve"> (личная информация в оплату не входит). Доплата за каждого соавтора </w:t>
      </w:r>
      <w:r>
        <w:rPr>
          <w:rFonts w:cs="Times New Roman"/>
          <w:b/>
          <w:sz w:val="24"/>
          <w:szCs w:val="24"/>
        </w:rPr>
        <w:t>120 руб</w:t>
      </w:r>
      <w:r>
        <w:rPr>
          <w:rFonts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Сертификат всем участникам </w:t>
      </w:r>
      <w:r>
        <w:rPr>
          <w:rFonts w:eastAsia="Calibri" w:cs="Times New Roman"/>
          <w:b/>
          <w:sz w:val="24"/>
          <w:szCs w:val="24"/>
        </w:rPr>
        <w:t>БЕСПЛАТНО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  <w:r/>
    </w:p>
    <w:p>
      <w:pPr>
        <w:pStyle w:val="Normal"/>
        <w:jc w:val="both"/>
        <w:rPr>
          <w:sz w:val="24"/>
          <w:sz w:val="24"/>
          <w:szCs w:val="24"/>
          <w:rFonts w:cs="Times New Roman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  <w:r/>
    </w:p>
    <w:p>
      <w:pPr>
        <w:pStyle w:val="Normal"/>
        <w:jc w:val="both"/>
        <w:rPr>
          <w:sz w:val="8"/>
          <w:sz w:val="8"/>
          <w:szCs w:val="24"/>
          <w:rFonts w:ascii="Times New Roman" w:hAnsi="Times New Roman" w:cs="Times New Roman"/>
        </w:rPr>
      </w:pPr>
      <w:r>
        <w:rPr>
          <w:rFonts w:cs="Times New Roman"/>
          <w:sz w:val="8"/>
          <w:szCs w:val="24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jc w:val="both"/>
        <w:rPr>
          <w:sz w:val="24"/>
          <w:i/>
          <w:b/>
          <w:sz w:val="24"/>
          <w:i/>
          <w:b/>
          <w:szCs w:val="24"/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>
        <w:rPr>
          <w:rFonts w:eastAsia="Calibri" w:cs="Times New Roman"/>
          <w:b/>
          <w:bCs/>
          <w:sz w:val="24"/>
          <w:szCs w:val="24"/>
        </w:rPr>
        <w:t>4 марта 2015г.</w:t>
      </w:r>
      <w:r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  <w:r/>
    </w:p>
    <w:p>
      <w:pPr>
        <w:pStyle w:val="Normal"/>
        <w:shd w:val="clear" w:color="auto" w:themeColor="" w:themeTint="" w:themeShade="" w:fill="FFFFFF" w:themeFill="" w:themeFillTint="" w:themeFillShade=""/>
        <w:jc w:val="center"/>
        <w:rPr>
          <w:sz w:val="24"/>
          <w:u w:val="single"/>
          <w:b/>
          <w:sz w:val="24"/>
          <w:b/>
          <w:szCs w:val="24"/>
          <w:bCs/>
          <w:rFonts w:cs="Times New Roman"/>
        </w:rPr>
      </w:pP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815" cy="153225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4742280" cy="1531800"/>
                        </a:xfrm>
                        <a:prstGeom prst="rect">
                          <a:avLst/>
                        </a:prstGeom>
                        <a:noFill/>
                        <a:ln w="31680">
                          <a:solidFill>
                            <a:srgbClr val="4f81bd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2.55pt;margin-top:1.95pt;width:373.35pt;height:120.55pt">
                <w10:wrap type="none"/>
                <v:fill on="false" o:detectmouseclick="t"/>
                <v:stroke color="#4f81bd" weight="31680" joinstyle="round" endcap="flat"/>
              </v:rect>
            </w:pict>
          </mc:Fallback>
        </mc:AlternateContent>
      </w:r>
      <w:r/>
    </w:p>
    <w:p>
      <w:pPr>
        <w:pStyle w:val="Normal"/>
        <w:shd w:val="clear" w:color="auto" w:themeColor="" w:themeTint="" w:themeShade="" w:fill="FFFFFF" w:themeFill="" w:themeFillTint="" w:themeFillShade=""/>
        <w:jc w:val="center"/>
        <w:rPr>
          <w:sz w:val="24"/>
          <w:u w:val="single"/>
          <w:b/>
          <w:sz w:val="24"/>
          <w:b/>
          <w:szCs w:val="24"/>
          <w:bCs/>
          <w:rFonts w:cs="Times New Roman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  <w:r/>
    </w:p>
    <w:p>
      <w:pPr>
        <w:pStyle w:val="Normal"/>
        <w:ind w:left="284" w:hanging="0"/>
        <w:jc w:val="both"/>
        <w:rPr>
          <w:sz w:val="24"/>
          <w:sz w:val="24"/>
          <w:szCs w:val="24"/>
          <w:rFonts w:eastAsia="Times New Roman" w:cs="Times New Roman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  <w:r/>
    </w:p>
    <w:p>
      <w:pPr>
        <w:pStyle w:val="Normal"/>
        <w:ind w:left="284" w:hanging="0"/>
        <w:jc w:val="both"/>
        <w:rPr>
          <w:sz w:val="24"/>
          <w:sz w:val="24"/>
          <w:szCs w:val="24"/>
          <w:rFonts w:eastAsia="Times New Roman" w:cs="Times New Roman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  <w:r/>
    </w:p>
    <w:p>
      <w:pPr>
        <w:pStyle w:val="Normal"/>
        <w:ind w:left="284" w:hanging="0"/>
        <w:jc w:val="both"/>
        <w:rPr>
          <w:sz w:val="24"/>
          <w:sz w:val="24"/>
          <w:szCs w:val="24"/>
          <w:rFonts w:eastAsia="Times New Roman" w:cs="Times New Roman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>
        <w:rPr>
          <w:rFonts w:eastAsia="Times New Roman" w:cs="Times New Roman"/>
          <w:sz w:val="24"/>
          <w:szCs w:val="24"/>
          <w:lang w:eastAsia="ru-RU"/>
        </w:rPr>
        <w:t>Филиал "Саратовский" ОАО Банк "ОТКРЫТИЕ"</w:t>
      </w:r>
      <w:r/>
    </w:p>
    <w:p>
      <w:pPr>
        <w:pStyle w:val="Normal"/>
        <w:ind w:left="284" w:hanging="0"/>
        <w:jc w:val="both"/>
        <w:rPr>
          <w:sz w:val="24"/>
          <w:sz w:val="24"/>
          <w:szCs w:val="24"/>
          <w:rFonts w:eastAsia="Times New Roman" w:cs="Times New Roman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БИК  046311854, к/с № 30101810900000000854</w:t>
      </w:r>
      <w:r/>
    </w:p>
    <w:p>
      <w:pPr>
        <w:pStyle w:val="Normal"/>
        <w:ind w:left="284" w:hanging="0"/>
        <w:jc w:val="both"/>
        <w:rPr>
          <w:sz w:val="24"/>
          <w:sz w:val="24"/>
          <w:szCs w:val="24"/>
          <w:rFonts w:eastAsia="Times New Roman" w:cs="Times New Roman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/>
    </w:p>
    <w:p>
      <w:pPr>
        <w:pStyle w:val="Normal"/>
        <w:rPr>
          <w:sz w:val="24"/>
          <w:b/>
          <w:sz w:val="24"/>
          <w:b/>
          <w:szCs w:val="24"/>
          <w:rFonts w:eastAsia="Calibri" w:cs="Times New Roman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  <w:r/>
    </w:p>
    <w:p>
      <w:pPr>
        <w:pStyle w:val="Normal"/>
        <w:rPr>
          <w:sz w:val="24"/>
          <w:b/>
          <w:sz w:val="24"/>
          <w:b/>
          <w:szCs w:val="24"/>
          <w:rFonts w:eastAsia="Calibri" w:cs="Times New Roman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  <w:r/>
    </w:p>
    <w:p>
      <w:pPr>
        <w:pStyle w:val="Normal"/>
        <w:rPr>
          <w:sz w:val="24"/>
          <w:b/>
          <w:sz w:val="24"/>
          <w:b/>
          <w:szCs w:val="24"/>
          <w:rFonts w:eastAsia="Calibri" w:cs="Times New Roman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  <w:r/>
    </w:p>
    <w:p>
      <w:pPr>
        <w:pStyle w:val="Normal"/>
        <w:shd w:val="clear" w:color="auto" w:themeColor="" w:themeTint="" w:themeShade="" w:fill="FFFFFF" w:themeFill="" w:themeFillTint="" w:themeFillShade=""/>
        <w:jc w:val="both"/>
        <w:rPr>
          <w:sz w:val="16"/>
          <w:i/>
          <w:b/>
          <w:sz w:val="16"/>
          <w:i/>
          <w:b/>
          <w:szCs w:val="24"/>
          <w:rFonts w:ascii="Times New Roman" w:hAnsi="Times New Roman" w:eastAsia="Calibri" w:cs="Times New Roman"/>
        </w:rPr>
      </w:pPr>
      <w:r>
        <w:rPr>
          <w:rFonts w:eastAsia="Calibri" w:cs="Times New Roman"/>
          <w:b/>
          <w:i/>
          <w:sz w:val="16"/>
          <w:szCs w:val="24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jc w:val="both"/>
        <w:rPr>
          <w:sz w:val="24"/>
          <w:b/>
          <w:sz w:val="24"/>
          <w:b/>
          <w:szCs w:val="24"/>
          <w:rFonts w:cs="Times New Roman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эл.почте: </w:t>
      </w:r>
      <w:hyperlink r:id="rId3">
        <w:r>
          <w:rPr>
            <w:rStyle w:val="Style13"/>
            <w:rFonts w:cs="Times New Roman"/>
            <w:b/>
            <w:sz w:val="24"/>
            <w:szCs w:val="24"/>
            <w:lang w:val="en-US"/>
          </w:rPr>
          <w:t>Orgkomitet</w:t>
        </w:r>
        <w:r>
          <w:rPr>
            <w:rStyle w:val="Style13"/>
            <w:rFonts w:cs="Times New Roman"/>
            <w:b/>
            <w:sz w:val="24"/>
            <w:szCs w:val="24"/>
          </w:rPr>
          <w:t>3@</w:t>
        </w:r>
        <w:r>
          <w:rPr>
            <w:rStyle w:val="Style13"/>
            <w:rFonts w:cs="Times New Roman"/>
            <w:b/>
            <w:sz w:val="24"/>
            <w:szCs w:val="24"/>
            <w:lang w:val="en-US"/>
          </w:rPr>
          <w:t>yandex</w:t>
        </w:r>
        <w:r>
          <w:rPr>
            <w:rStyle w:val="Style13"/>
            <w:rFonts w:cs="Times New Roman"/>
            <w:b/>
            <w:sz w:val="24"/>
            <w:szCs w:val="24"/>
          </w:rPr>
          <w:t>.</w:t>
        </w:r>
        <w:r>
          <w:rPr>
            <w:rStyle w:val="Style13"/>
            <w:rFonts w:cs="Times New Roman"/>
            <w:b/>
            <w:sz w:val="24"/>
            <w:szCs w:val="24"/>
            <w:lang w:val="en-GB"/>
          </w:rPr>
          <w:t>ru</w:t>
        </w:r>
      </w:hyperlink>
      <w:r/>
    </w:p>
    <w:p>
      <w:pPr>
        <w:pStyle w:val="Normal"/>
        <w:shd w:val="clear" w:color="auto" w:themeColor="" w:themeTint="" w:themeShade="" w:fill="FFFFFF" w:themeFill="" w:themeFillTint="" w:themeFillShade=""/>
        <w:rPr>
          <w:sz w:val="24"/>
          <w:b/>
          <w:sz w:val="24"/>
          <w:b/>
          <w:szCs w:val="24"/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  <w:r/>
    </w:p>
    <w:p>
      <w:pPr>
        <w:pStyle w:val="Normal"/>
        <w:shd w:val="clear" w:color="auto" w:themeColor="" w:themeTint="" w:themeShade="" w:fill="FFFFFF" w:themeFill="" w:themeFillTint="" w:themeFillShade=""/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(9:00-21:00 МСК)</w:t>
      </w:r>
      <w:r/>
    </w:p>
    <w:sectPr>
      <w:type w:val="continuous"/>
      <w:pgSz w:orient="landscape" w:w="16838" w:h="11906"/>
      <w:pgMar w:left="851" w:right="678" w:header="0" w:top="426" w:footer="0" w:bottom="426" w:gutter="0"/>
      <w:cols w:num="2" w:space="570" w:equalWidth="true" w:sep="false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uiPriority="0" w:name="Hyperlink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1513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sz w:val="28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0c78e3"/>
    <w:pPr>
      <w:keepNext/>
      <w:keepLines/>
      <w:outlineLvl w:val="0"/>
    </w:pPr>
    <w:rPr>
      <w:rFonts w:eastAsia="" w:cs="" w:cstheme="majorBidi" w:eastAsiaTheme="majorEastAsia"/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basedOn w:val="DefaultParagraphFont"/>
    <w:link w:val="1"/>
    <w:uiPriority w:val="9"/>
    <w:rsid w:val="000c78e3"/>
    <w:rPr>
      <w:rFonts w:ascii="Times New Roman" w:hAnsi="Times New Roman" w:eastAsia="" w:cs="" w:cstheme="majorBidi" w:eastAsiaTheme="majorEastAsia"/>
      <w:b/>
      <w:bCs/>
      <w:sz w:val="28"/>
      <w:szCs w:val="28"/>
    </w:rPr>
  </w:style>
  <w:style w:type="character" w:styleId="Style13">
    <w:name w:val="Интернет-ссылка"/>
    <w:basedOn w:val="DefaultParagraphFont"/>
    <w:rsid w:val="00e13e17"/>
    <w:rPr>
      <w:color w:val="0000FF"/>
      <w:u w:val="single"/>
      <w:lang w:val="zxx" w:eastAsia="zxx" w:bidi="zxx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rsid w:val="00412cc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rsid w:val="00412cc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mailto:Orgkomitet3@yandex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LibreOffice/4.3.2.2$Windows_x86 LibreOffice_project/edfb5295ba211bd31ad47d0bad0118690f76407d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2014-10-08T08:12:00Z</dcterms:created>
  <dc:creator>Admin</dc:creator>
  <dc:language>ru-RU</dc:language>
  <cp:lastModifiedBy>Тягунова</cp:lastModifiedBy>
  <dcterms:modified xsi:type="dcterms:W3CDTF">2015-01-29T08:49:00Z</dcterms:modified>
  <cp:revision>10</cp:revision>
</cp:coreProperties>
</file>